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CFA21">
      <w:pPr>
        <w:jc w:val="left"/>
        <w:rPr>
          <w:rFonts w:hint="default" w:ascii="Arial" w:hAnsi="Arial" w:cs="Arial"/>
          <w:sz w:val="20"/>
          <w:szCs w:val="20"/>
        </w:rPr>
      </w:pPr>
      <w:bookmarkStart w:id="0" w:name="_GoBack"/>
      <w:r>
        <w:rPr>
          <w:rFonts w:hint="default" w:ascii="Arial" w:hAnsi="Arial" w:cs="Arial"/>
          <w:b/>
          <w:sz w:val="20"/>
          <w:szCs w:val="20"/>
        </w:rPr>
        <w:t xml:space="preserve">Supplementary Table </w:t>
      </w:r>
      <w:r>
        <w:rPr>
          <w:rFonts w:hint="eastAsia" w:ascii="Arial" w:hAnsi="Arial" w:eastAsia="宋体" w:cs="Arial"/>
          <w:b/>
          <w:sz w:val="20"/>
          <w:szCs w:val="20"/>
          <w:lang w:val="en-US" w:eastAsia="zh-CN"/>
        </w:rPr>
        <w:t>2</w:t>
      </w:r>
      <w:bookmarkEnd w:id="0"/>
      <w:r>
        <w:rPr>
          <w:rFonts w:hint="default" w:ascii="Arial" w:hAnsi="Arial" w:cs="Arial"/>
          <w:sz w:val="20"/>
          <w:szCs w:val="20"/>
        </w:rPr>
        <w:t>. Characteristics of Child Life Services Interventions and Control Conditions Across Included Studies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1550"/>
        <w:gridCol w:w="5532"/>
        <w:gridCol w:w="5417"/>
      </w:tblGrid>
      <w:tr w14:paraId="10A34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7" w:type="dxa"/>
            <w:shd w:val="clear" w:color="auto" w:fill="D9D9D9"/>
          </w:tcPr>
          <w:p w14:paraId="37EB9C9F">
            <w:pPr>
              <w:spacing w:line="480" w:lineRule="auto"/>
              <w:jc w:val="center"/>
              <w:rPr>
                <w:rFonts w:hint="default" w:ascii="Arial" w:hAnsi="Arial" w:cs="Arial"/>
                <w:sz w:val="20"/>
                <w:szCs w:val="20"/>
              </w:rPr>
            </w:pPr>
            <w:r>
              <w:rPr>
                <w:rFonts w:hint="default" w:ascii="Arial" w:hAnsi="Arial" w:cs="Arial"/>
                <w:b/>
                <w:sz w:val="20"/>
                <w:szCs w:val="20"/>
              </w:rPr>
              <w:t>Study</w:t>
            </w:r>
          </w:p>
        </w:tc>
        <w:tc>
          <w:tcPr>
            <w:tcW w:w="1417" w:type="dxa"/>
            <w:shd w:val="clear" w:color="auto" w:fill="D9D9D9"/>
          </w:tcPr>
          <w:p w14:paraId="7B360EBE">
            <w:pPr>
              <w:spacing w:line="480" w:lineRule="auto"/>
              <w:jc w:val="center"/>
              <w:rPr>
                <w:rFonts w:hint="default" w:ascii="Arial" w:hAnsi="Arial" w:cs="Arial"/>
                <w:sz w:val="20"/>
                <w:szCs w:val="20"/>
              </w:rPr>
            </w:pPr>
            <w:r>
              <w:rPr>
                <w:rFonts w:hint="default" w:ascii="Arial" w:hAnsi="Arial" w:cs="Arial"/>
                <w:b/>
                <w:sz w:val="20"/>
                <w:szCs w:val="20"/>
              </w:rPr>
              <w:t>Procedure</w:t>
            </w:r>
          </w:p>
        </w:tc>
        <w:tc>
          <w:tcPr>
            <w:tcW w:w="5953" w:type="dxa"/>
            <w:shd w:val="clear" w:color="auto" w:fill="D9D9D9"/>
          </w:tcPr>
          <w:p w14:paraId="5710044C">
            <w:pPr>
              <w:spacing w:line="480" w:lineRule="auto"/>
              <w:jc w:val="center"/>
              <w:rPr>
                <w:rFonts w:hint="default" w:ascii="Arial" w:hAnsi="Arial" w:cs="Arial"/>
                <w:sz w:val="20"/>
                <w:szCs w:val="20"/>
              </w:rPr>
            </w:pPr>
            <w:r>
              <w:rPr>
                <w:rFonts w:hint="default" w:ascii="Arial" w:hAnsi="Arial" w:cs="Arial"/>
                <w:b/>
                <w:sz w:val="20"/>
                <w:szCs w:val="20"/>
              </w:rPr>
              <w:t>CLS Intervention</w:t>
            </w:r>
          </w:p>
        </w:tc>
        <w:tc>
          <w:tcPr>
            <w:tcW w:w="5953" w:type="dxa"/>
            <w:shd w:val="clear" w:color="auto" w:fill="D9D9D9"/>
          </w:tcPr>
          <w:p w14:paraId="6C8C7F30">
            <w:pPr>
              <w:spacing w:line="480" w:lineRule="auto"/>
              <w:jc w:val="center"/>
              <w:rPr>
                <w:rFonts w:hint="default" w:ascii="Arial" w:hAnsi="Arial" w:cs="Arial"/>
                <w:sz w:val="20"/>
                <w:szCs w:val="20"/>
              </w:rPr>
            </w:pPr>
            <w:r>
              <w:rPr>
                <w:rFonts w:hint="default" w:ascii="Arial" w:hAnsi="Arial" w:cs="Arial"/>
                <w:b/>
                <w:sz w:val="20"/>
                <w:szCs w:val="20"/>
              </w:rPr>
              <w:t>Control Condition</w:t>
            </w:r>
          </w:p>
        </w:tc>
      </w:tr>
      <w:tr w14:paraId="07BE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021DC5B9">
            <w:pPr>
              <w:spacing w:before="20" w:after="20" w:line="480" w:lineRule="auto"/>
              <w:jc w:val="left"/>
              <w:rPr>
                <w:rFonts w:hint="default" w:ascii="Arial" w:hAnsi="Arial" w:cs="Arial"/>
                <w:sz w:val="20"/>
                <w:szCs w:val="20"/>
              </w:rPr>
            </w:pPr>
            <w:r>
              <w:rPr>
                <w:rFonts w:hint="default" w:ascii="Arial" w:hAnsi="Arial" w:cs="Arial"/>
                <w:b/>
                <w:sz w:val="20"/>
                <w:szCs w:val="20"/>
              </w:rPr>
              <w:t>Chen &amp; Li (2023)</w:t>
            </w:r>
          </w:p>
        </w:tc>
        <w:tc>
          <w:tcPr>
            <w:tcW w:w="1417" w:type="dxa"/>
          </w:tcPr>
          <w:p w14:paraId="4244F973">
            <w:pPr>
              <w:spacing w:before="20" w:after="20" w:line="480" w:lineRule="auto"/>
              <w:jc w:val="left"/>
              <w:rPr>
                <w:rFonts w:hint="default" w:ascii="Arial" w:hAnsi="Arial" w:cs="Arial"/>
                <w:sz w:val="20"/>
                <w:szCs w:val="20"/>
              </w:rPr>
            </w:pPr>
            <w:r>
              <w:rPr>
                <w:rFonts w:hint="default" w:ascii="Arial" w:hAnsi="Arial" w:cs="Arial"/>
                <w:sz w:val="20"/>
                <w:szCs w:val="20"/>
              </w:rPr>
              <w:t>Limb fracture repair</w:t>
            </w:r>
          </w:p>
        </w:tc>
        <w:tc>
          <w:tcPr>
            <w:tcW w:w="5953" w:type="dxa"/>
          </w:tcPr>
          <w:p w14:paraId="21211C59">
            <w:pPr>
              <w:spacing w:before="20" w:after="20" w:line="480" w:lineRule="auto"/>
              <w:jc w:val="left"/>
              <w:rPr>
                <w:rFonts w:hint="default" w:ascii="Arial" w:hAnsi="Arial" w:cs="Arial"/>
                <w:sz w:val="20"/>
                <w:szCs w:val="20"/>
              </w:rPr>
            </w:pPr>
            <w:r>
              <w:rPr>
                <w:rFonts w:hint="default" w:ascii="Arial" w:hAnsi="Arial" w:cs="Arial"/>
                <w:sz w:val="20"/>
                <w:szCs w:val="20"/>
              </w:rPr>
              <w:t>A medical game counseling team was established and trained. Fear sources</w:t>
            </w:r>
            <w:r>
              <w:rPr>
                <w:rFonts w:hint="eastAsia" w:ascii="Arial" w:hAnsi="Arial" w:eastAsia="宋体" w:cs="Arial"/>
                <w:sz w:val="20"/>
                <w:szCs w:val="20"/>
                <w:lang w:val="en-US" w:eastAsia="zh-CN"/>
              </w:rPr>
              <w:t xml:space="preserve"> (</w:t>
            </w:r>
            <w:r>
              <w:rPr>
                <w:rFonts w:hint="default" w:ascii="Arial" w:hAnsi="Arial" w:cs="Arial"/>
                <w:sz w:val="20"/>
                <w:szCs w:val="20"/>
              </w:rPr>
              <w:t>unfamiliar environment, separation anxiety, postoperative pain</w:t>
            </w:r>
            <w:r>
              <w:rPr>
                <w:rFonts w:hint="eastAsia" w:ascii="Arial" w:hAnsi="Arial" w:eastAsia="宋体" w:cs="Arial"/>
                <w:sz w:val="20"/>
                <w:szCs w:val="20"/>
                <w:lang w:val="en-US" w:eastAsia="zh-CN"/>
              </w:rPr>
              <w:t xml:space="preserve">) </w:t>
            </w:r>
            <w:r>
              <w:rPr>
                <w:rFonts w:hint="default" w:ascii="Arial" w:hAnsi="Arial" w:cs="Arial"/>
                <w:sz w:val="20"/>
                <w:szCs w:val="20"/>
              </w:rPr>
              <w:t xml:space="preserve">were identified through communication with children and parents, then used to shape the game plan. A playful multi-bed ward area was decorated with cartoon stickers of trees, animals, and flowers, and stocked with age-appropriate toys, books, and education booklets, disinfected regularly. Before surgery, children played </w:t>
            </w:r>
            <w:r>
              <w:rPr>
                <w:rFonts w:hint="default" w:ascii="Arial" w:hAnsi="Arial" w:eastAsia="宋体" w:cs="Arial"/>
                <w:sz w:val="20"/>
                <w:szCs w:val="20"/>
                <w:lang w:val="en-US" w:eastAsia="zh-CN"/>
              </w:rPr>
              <w:t>“</w:t>
            </w:r>
            <w:r>
              <w:rPr>
                <w:rFonts w:hint="default" w:ascii="Arial" w:hAnsi="Arial" w:cs="Arial"/>
                <w:sz w:val="20"/>
                <w:szCs w:val="20"/>
              </w:rPr>
              <w:t>Doctor and Baby</w:t>
            </w:r>
            <w:r>
              <w:rPr>
                <w:rFonts w:hint="default" w:ascii="Arial" w:hAnsi="Arial" w:eastAsia="宋体" w:cs="Arial"/>
                <w:sz w:val="20"/>
                <w:szCs w:val="20"/>
                <w:lang w:val="en-US" w:eastAsia="zh-CN"/>
              </w:rPr>
              <w:t>”</w:t>
            </w:r>
            <w:r>
              <w:rPr>
                <w:rFonts w:hint="eastAsia" w:ascii="Arial" w:hAnsi="Arial" w:eastAsia="宋体" w:cs="Arial"/>
                <w:sz w:val="20"/>
                <w:szCs w:val="20"/>
                <w:lang w:val="en-US" w:eastAsia="zh-CN"/>
              </w:rPr>
              <w:t xml:space="preserve"> </w:t>
            </w:r>
            <w:r>
              <w:rPr>
                <w:rFonts w:hint="default" w:ascii="Arial" w:hAnsi="Arial" w:cs="Arial"/>
                <w:sz w:val="20"/>
                <w:szCs w:val="20"/>
              </w:rPr>
              <w:t>(~20 min): using a doll, sphygmomanometer, stethoscope, IV set, and tape, the child role-played as a doctor measuring the doll’s blood pressure, listening to its heart, and giving it an IV. Before anesthesia induction, a “Surgery Game Pack” was delivered: education cards, picture books, an IV set, oxygen tubing, an anesthesia toy bed, a doll, bandages, and operating room photos/videos were used to demonstrate the anesthesia and surgical workflow, followed by post-op wound care, oxygen therapy, and brace fixation; children were then asked to retell the sequence. After surgery, a “Distraction Game” (~30 min) used building blocks, board games, watercolor pens, etc., alongside guided deep breathing, favorite animated shows, and parent–child interactive play coached by staff.</w:t>
            </w:r>
          </w:p>
        </w:tc>
        <w:tc>
          <w:tcPr>
            <w:tcW w:w="5953" w:type="dxa"/>
          </w:tcPr>
          <w:p w14:paraId="78DDC0D6">
            <w:pPr>
              <w:spacing w:before="20" w:after="20" w:line="480" w:lineRule="auto"/>
              <w:jc w:val="left"/>
              <w:rPr>
                <w:rFonts w:hint="default" w:ascii="Arial" w:hAnsi="Arial" w:cs="Arial"/>
                <w:sz w:val="20"/>
                <w:szCs w:val="20"/>
              </w:rPr>
            </w:pPr>
            <w:r>
              <w:rPr>
                <w:rFonts w:hint="default" w:ascii="Arial" w:hAnsi="Arial" w:cs="Arial"/>
                <w:sz w:val="20"/>
                <w:szCs w:val="20"/>
              </w:rPr>
              <w:t>Routine care: oral education on admission covering treatment procedures, precautions, disease knowledge, and functional exercises; a pre-op visit one day before surgery to assess status and communicate fasting and item preparation; escort to the operating room on the day of surgery; post-op vital sign and pain assessment with pharmacological analgesia triggered at FLACC ≥ 4.</w:t>
            </w:r>
          </w:p>
        </w:tc>
      </w:tr>
      <w:tr w14:paraId="308C7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530D5888">
            <w:pPr>
              <w:spacing w:before="20" w:after="20" w:line="480" w:lineRule="auto"/>
              <w:jc w:val="left"/>
              <w:rPr>
                <w:rFonts w:hint="default" w:ascii="Arial" w:hAnsi="Arial" w:cs="Arial"/>
                <w:sz w:val="20"/>
                <w:szCs w:val="20"/>
              </w:rPr>
            </w:pPr>
            <w:r>
              <w:rPr>
                <w:rFonts w:hint="default" w:ascii="Arial" w:hAnsi="Arial" w:cs="Arial"/>
                <w:b/>
                <w:sz w:val="20"/>
                <w:szCs w:val="20"/>
              </w:rPr>
              <w:t>Gregory et al. (2023)</w:t>
            </w:r>
          </w:p>
        </w:tc>
        <w:tc>
          <w:tcPr>
            <w:tcW w:w="1417" w:type="dxa"/>
          </w:tcPr>
          <w:p w14:paraId="176C6A25">
            <w:pPr>
              <w:spacing w:before="20" w:after="20" w:line="480" w:lineRule="auto"/>
              <w:jc w:val="left"/>
              <w:rPr>
                <w:rFonts w:hint="default" w:ascii="Arial" w:hAnsi="Arial" w:cs="Arial"/>
                <w:sz w:val="20"/>
                <w:szCs w:val="20"/>
              </w:rPr>
            </w:pPr>
            <w:r>
              <w:rPr>
                <w:rFonts w:hint="default" w:ascii="Arial" w:hAnsi="Arial" w:cs="Arial"/>
                <w:sz w:val="20"/>
                <w:szCs w:val="20"/>
              </w:rPr>
              <w:t>Routine immunization</w:t>
            </w:r>
          </w:p>
        </w:tc>
        <w:tc>
          <w:tcPr>
            <w:tcW w:w="5953" w:type="dxa"/>
          </w:tcPr>
          <w:p w14:paraId="654E79E6">
            <w:pPr>
              <w:spacing w:before="20" w:after="20" w:line="480" w:lineRule="auto"/>
              <w:jc w:val="left"/>
              <w:rPr>
                <w:rFonts w:hint="default" w:ascii="Arial" w:hAnsi="Arial" w:cs="Arial"/>
                <w:sz w:val="20"/>
                <w:szCs w:val="20"/>
              </w:rPr>
            </w:pPr>
            <w:r>
              <w:rPr>
                <w:rFonts w:hint="default" w:ascii="Arial" w:hAnsi="Arial" w:cs="Arial"/>
                <w:sz w:val="20"/>
                <w:szCs w:val="20"/>
              </w:rPr>
              <w:t>A CCLS delivered individualized preparation and procedural support. Preparation involved telling the child what they would feel, walking through the sequence of events, and offering age-appropriate choices—where to sit, whether to watch or look away, whether the nurse should count down. Upright comfort positioning was used. Distraction drew on redirecting conversation, interactive games or toys, comfort items, and electronic devices. Relaxation techniques included deep breathing, muscle relaxation, and guided imagery. The CCLS also advocated for and administered a topical vapocoolant spray before injection.</w:t>
            </w:r>
          </w:p>
        </w:tc>
        <w:tc>
          <w:tcPr>
            <w:tcW w:w="5953" w:type="dxa"/>
          </w:tcPr>
          <w:p w14:paraId="37D7F172">
            <w:pPr>
              <w:spacing w:before="20" w:after="20" w:line="480" w:lineRule="auto"/>
              <w:jc w:val="left"/>
              <w:rPr>
                <w:rFonts w:hint="default" w:ascii="Arial" w:hAnsi="Arial" w:cs="Arial"/>
                <w:sz w:val="20"/>
                <w:szCs w:val="20"/>
              </w:rPr>
            </w:pPr>
            <w:r>
              <w:rPr>
                <w:rFonts w:hint="default" w:ascii="Arial" w:hAnsi="Arial" w:cs="Arial"/>
                <w:sz w:val="20"/>
                <w:szCs w:val="20"/>
              </w:rPr>
              <w:t>Standard nursing care: immunizations were administered following current evidence-based safety procedures. Psychosocial interventions and vapocoolant spray were provided on a case-by-case basis at nurses’ discretion, with safe administration as the priority.</w:t>
            </w:r>
          </w:p>
        </w:tc>
      </w:tr>
      <w:tr w14:paraId="0238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63192C14">
            <w:pPr>
              <w:spacing w:before="20" w:after="20" w:line="480" w:lineRule="auto"/>
              <w:jc w:val="left"/>
              <w:rPr>
                <w:rFonts w:hint="default" w:ascii="Arial" w:hAnsi="Arial" w:cs="Arial"/>
                <w:sz w:val="20"/>
                <w:szCs w:val="20"/>
              </w:rPr>
            </w:pPr>
            <w:r>
              <w:rPr>
                <w:rFonts w:hint="default" w:ascii="Arial" w:hAnsi="Arial" w:cs="Arial"/>
                <w:b/>
                <w:sz w:val="20"/>
                <w:szCs w:val="20"/>
              </w:rPr>
              <w:t>Hyland et al. (2015)</w:t>
            </w:r>
          </w:p>
        </w:tc>
        <w:tc>
          <w:tcPr>
            <w:tcW w:w="1417" w:type="dxa"/>
          </w:tcPr>
          <w:p w14:paraId="240821AA">
            <w:pPr>
              <w:spacing w:before="20" w:after="20" w:line="480" w:lineRule="auto"/>
              <w:jc w:val="left"/>
              <w:rPr>
                <w:rFonts w:hint="default" w:ascii="Arial" w:hAnsi="Arial" w:cs="Arial"/>
                <w:sz w:val="20"/>
                <w:szCs w:val="20"/>
              </w:rPr>
            </w:pPr>
            <w:r>
              <w:rPr>
                <w:rFonts w:hint="default" w:ascii="Arial" w:hAnsi="Arial" w:cs="Arial"/>
                <w:sz w:val="20"/>
                <w:szCs w:val="20"/>
              </w:rPr>
              <w:t>Burn wound dressing</w:t>
            </w:r>
          </w:p>
        </w:tc>
        <w:tc>
          <w:tcPr>
            <w:tcW w:w="5953" w:type="dxa"/>
          </w:tcPr>
          <w:p w14:paraId="3725EE88">
            <w:pPr>
              <w:spacing w:before="20" w:after="20" w:line="480" w:lineRule="auto"/>
              <w:jc w:val="left"/>
              <w:rPr>
                <w:rFonts w:hint="default" w:ascii="Arial" w:hAnsi="Arial" w:cs="Arial"/>
                <w:sz w:val="20"/>
                <w:szCs w:val="20"/>
              </w:rPr>
            </w:pPr>
            <w:r>
              <w:rPr>
                <w:rFonts w:hint="default" w:ascii="Arial" w:hAnsi="Arial" w:cs="Arial"/>
                <w:sz w:val="20"/>
                <w:szCs w:val="20"/>
              </w:rPr>
              <w:t>A qualified CLTP provided pre-procedural age-appropriate preparation, parent support and education, and age-specific distraction techniques. Unlike static distraction provided ad hoc by parents or nursing staff, the CLTP dedicated their full attention to the child before and throughout the entire dressing change. Distraction techniques—music, toys, electronic devices, games, bubbles—were tailored in real time to the individual child, the family, and the changing environment. The CLTP also employed cognitive restructuring (e.g., emphasizing that pain “hurts” but does not “harm”) and offered continuity of care across visits.</w:t>
            </w:r>
          </w:p>
        </w:tc>
        <w:tc>
          <w:tcPr>
            <w:tcW w:w="5953" w:type="dxa"/>
          </w:tcPr>
          <w:p w14:paraId="16D2D65D">
            <w:pPr>
              <w:spacing w:before="20" w:after="20" w:line="480" w:lineRule="auto"/>
              <w:jc w:val="left"/>
              <w:rPr>
                <w:rFonts w:hint="default" w:ascii="Arial" w:hAnsi="Arial" w:cs="Arial"/>
                <w:sz w:val="20"/>
                <w:szCs w:val="20"/>
              </w:rPr>
            </w:pPr>
            <w:r>
              <w:rPr>
                <w:rFonts w:hint="default" w:ascii="Arial" w:hAnsi="Arial" w:cs="Arial"/>
                <w:sz w:val="20"/>
                <w:szCs w:val="20"/>
              </w:rPr>
              <w:t>Standard care: minimal distraction was provided by one or both parents, or occasionally by a staff member placing music, a toy, or an electronic device in front of the child. All children and families received minimal pre-procedural education from medical and nursing staff.</w:t>
            </w:r>
          </w:p>
        </w:tc>
      </w:tr>
      <w:tr w14:paraId="1E7FD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5B5FF2BC">
            <w:pPr>
              <w:spacing w:before="20" w:after="20" w:line="480" w:lineRule="auto"/>
              <w:jc w:val="left"/>
              <w:rPr>
                <w:rFonts w:hint="default" w:ascii="Arial" w:hAnsi="Arial" w:cs="Arial"/>
                <w:sz w:val="20"/>
                <w:szCs w:val="20"/>
              </w:rPr>
            </w:pPr>
            <w:r>
              <w:rPr>
                <w:rFonts w:hint="default" w:ascii="Arial" w:hAnsi="Arial" w:cs="Arial"/>
                <w:b/>
                <w:sz w:val="20"/>
                <w:szCs w:val="20"/>
              </w:rPr>
              <w:t>Jin et al. (2023)</w:t>
            </w:r>
          </w:p>
        </w:tc>
        <w:tc>
          <w:tcPr>
            <w:tcW w:w="1417" w:type="dxa"/>
          </w:tcPr>
          <w:p w14:paraId="7DCCDC3C">
            <w:pPr>
              <w:spacing w:before="20" w:after="20" w:line="480" w:lineRule="auto"/>
              <w:jc w:val="left"/>
              <w:rPr>
                <w:rFonts w:hint="default" w:ascii="Arial" w:hAnsi="Arial" w:cs="Arial"/>
                <w:sz w:val="20"/>
                <w:szCs w:val="20"/>
              </w:rPr>
            </w:pPr>
            <w:r>
              <w:rPr>
                <w:rFonts w:hint="default" w:ascii="Arial" w:hAnsi="Arial" w:cs="Arial"/>
                <w:sz w:val="20"/>
                <w:szCs w:val="20"/>
              </w:rPr>
              <w:t>Concealed penis surgery</w:t>
            </w:r>
          </w:p>
        </w:tc>
        <w:tc>
          <w:tcPr>
            <w:tcW w:w="5953" w:type="dxa"/>
          </w:tcPr>
          <w:p w14:paraId="0D20A53F">
            <w:pPr>
              <w:spacing w:before="20" w:after="20" w:line="480" w:lineRule="auto"/>
              <w:jc w:val="left"/>
              <w:rPr>
                <w:rFonts w:hint="default" w:ascii="Arial" w:hAnsi="Arial" w:cs="Arial"/>
                <w:sz w:val="20"/>
                <w:szCs w:val="20"/>
              </w:rPr>
            </w:pPr>
            <w:r>
              <w:rPr>
                <w:rFonts w:hint="default" w:ascii="Arial" w:hAnsi="Arial" w:cs="Arial"/>
                <w:sz w:val="20"/>
                <w:szCs w:val="20"/>
              </w:rPr>
              <w:t>A medical counseling game project team was formed (1 head nurse, 1 specialist nurse, 3 general/rotating nurses, 2 operating room nurses). On admission, each child’s favorite cartoon characters and colors were surveyed and used to personalize the game activity room—wall decorations, children’s tables and chairs, building blocks, dolls, medical simulation props, and drawing boards, disinfected daily. Preoperative anxiety-reduction games included: building simple models with blocks to build rapport; “Rescue Adventure”—“I Am a Little Doctor” role-play in children’s medical costumes, simulating pre-op exams and IV steps; simulating anesthesia on a toy doll with game medical props; and an OR nurse in cartoon-patterned clothing guiding the child to explore the surgical waiting area, experience transport, and rehearse separation from parents via hide-and-seek or “brave adventure” scenarios. Post-game rewards (star stickers, small toys) were promised. Supportive games followed: relaxation skills demonstrated (deep breathing, music, conversation), the “I Want to Know” dialogue explaining surgery in child-friendly language, and a cartoon video showing key cooperation points. Group game support involved previously successful children sharing experiences and acting as peer mentors. Emotional support included attentive listening, cartoon commendation cards, and “little red flower” or star rewards.</w:t>
            </w:r>
          </w:p>
        </w:tc>
        <w:tc>
          <w:tcPr>
            <w:tcW w:w="5953" w:type="dxa"/>
          </w:tcPr>
          <w:p w14:paraId="0EB9D061">
            <w:pPr>
              <w:spacing w:before="20" w:after="20" w:line="480" w:lineRule="auto"/>
              <w:jc w:val="left"/>
              <w:rPr>
                <w:rFonts w:hint="default" w:ascii="Arial" w:hAnsi="Arial" w:cs="Arial"/>
                <w:sz w:val="20"/>
                <w:szCs w:val="20"/>
              </w:rPr>
            </w:pPr>
            <w:r>
              <w:rPr>
                <w:rFonts w:hint="default" w:ascii="Arial" w:hAnsi="Arial" w:cs="Arial"/>
                <w:sz w:val="20"/>
                <w:szCs w:val="20"/>
              </w:rPr>
              <w:t>Routine care: pre-op psychological support from nurses (explaining the condition, its impact, surgical approach, and success rate); pre-op preparation (perineal hygiene, laxatives for constipated children); post-op regular ward rounds monitoring flap blood supply especially glans color, with dressing adjustment for abnormalities; supine positioning the day after surgery with family coaching to soothe the child and minimize crying to reduce penile edema, hip elevation, millimeter-wave therapy for severe edema; indomethacin suppository or oral ibuprofen to prevent erection-related wound pain; monitoring urination and encouraging fluids; discharge education (keep dressing dry/clean, warm water wiping, post-defecation anal hygiene, maintaining bowel regularity, erythromycin ointment on wound plus iodophor disinfection of urethral meatus, dietary guidance).</w:t>
            </w:r>
          </w:p>
        </w:tc>
      </w:tr>
      <w:tr w14:paraId="72B2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76DEDE89">
            <w:pPr>
              <w:spacing w:before="20" w:after="20" w:line="480" w:lineRule="auto"/>
              <w:jc w:val="left"/>
              <w:rPr>
                <w:rFonts w:hint="default" w:ascii="Arial" w:hAnsi="Arial" w:cs="Arial"/>
                <w:sz w:val="20"/>
                <w:szCs w:val="20"/>
              </w:rPr>
            </w:pPr>
            <w:r>
              <w:rPr>
                <w:rFonts w:hint="default" w:ascii="Arial" w:hAnsi="Arial" w:cs="Arial"/>
                <w:b/>
                <w:sz w:val="20"/>
                <w:szCs w:val="20"/>
              </w:rPr>
              <w:t>Li S. et al. (2025)</w:t>
            </w:r>
          </w:p>
        </w:tc>
        <w:tc>
          <w:tcPr>
            <w:tcW w:w="1417" w:type="dxa"/>
          </w:tcPr>
          <w:p w14:paraId="60A541DF">
            <w:pPr>
              <w:spacing w:before="20" w:after="20" w:line="480" w:lineRule="auto"/>
              <w:jc w:val="left"/>
              <w:rPr>
                <w:rFonts w:hint="default" w:ascii="Arial" w:hAnsi="Arial" w:cs="Arial"/>
                <w:sz w:val="20"/>
                <w:szCs w:val="20"/>
              </w:rPr>
            </w:pPr>
            <w:r>
              <w:rPr>
                <w:rFonts w:hint="default" w:ascii="Arial" w:hAnsi="Arial" w:cs="Arial"/>
                <w:sz w:val="20"/>
                <w:szCs w:val="20"/>
              </w:rPr>
              <w:t>Cryptorchidism surgery</w:t>
            </w:r>
          </w:p>
        </w:tc>
        <w:tc>
          <w:tcPr>
            <w:tcW w:w="5953" w:type="dxa"/>
          </w:tcPr>
          <w:p w14:paraId="08FCBD33">
            <w:pPr>
              <w:spacing w:before="20" w:after="20" w:line="480" w:lineRule="auto"/>
              <w:jc w:val="left"/>
              <w:rPr>
                <w:rFonts w:hint="default" w:ascii="Arial" w:hAnsi="Arial" w:cs="Arial"/>
                <w:sz w:val="20"/>
                <w:szCs w:val="20"/>
              </w:rPr>
            </w:pPr>
            <w:r>
              <w:rPr>
                <w:rFonts w:hint="default" w:ascii="Arial" w:hAnsi="Arial" w:cs="Arial"/>
                <w:sz w:val="20"/>
                <w:szCs w:val="20"/>
              </w:rPr>
              <w:t>Children’s wards were set up with cartoon books and toys to ease environmental stress. Staff conducted narrative conversations with family members to learn about how the condition was discovered, the journey to treatment, and the child’s interests and hobbies. Children were assigned to shared rooms by age band (1–3, &gt;3–6, &gt;6–12 years) to enable peer mutual encouragement. Health education was age-layered: cartoon booklets for ages 1–6, a urology-specific picture book for those over 6. Game interventions were similarly stratified—simulation games for ages 1–6, specialty medical games for older children to familiarize them with medical procedures. One day before surgery, a self-produced surgical video was shown, the lead surgeon introduced themselves, and children and parents toured the operating room. On the day of surgery, a parent accompanied the child into the preparation room to watch the child’s favorite cartoons together before anesthesia. After surgery, distraction was delivered by age: blocks and cartoon books for ages 1–3, animated shows for those over 3. At discharge, verbal encouragement to keep going was paired with home rehabilitation guidance and instruction on complication prevention and management.</w:t>
            </w:r>
          </w:p>
        </w:tc>
        <w:tc>
          <w:tcPr>
            <w:tcW w:w="5953" w:type="dxa"/>
          </w:tcPr>
          <w:p w14:paraId="46C24DFB">
            <w:pPr>
              <w:spacing w:before="20" w:after="20" w:line="480" w:lineRule="auto"/>
              <w:jc w:val="left"/>
              <w:rPr>
                <w:rFonts w:hint="default" w:ascii="Arial" w:hAnsi="Arial" w:cs="Arial"/>
                <w:sz w:val="20"/>
                <w:szCs w:val="20"/>
              </w:rPr>
            </w:pPr>
            <w:r>
              <w:rPr>
                <w:rFonts w:hint="default" w:ascii="Arial" w:hAnsi="Arial" w:cs="Arial"/>
                <w:sz w:val="20"/>
                <w:szCs w:val="20"/>
              </w:rPr>
              <w:t>Routine urological perioperative care: disease and surgery knowledge education for children and parents, plus standard perioperative guidance.</w:t>
            </w:r>
          </w:p>
        </w:tc>
      </w:tr>
      <w:tr w14:paraId="361B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64F77377">
            <w:pPr>
              <w:spacing w:before="20" w:after="20" w:line="480" w:lineRule="auto"/>
              <w:jc w:val="left"/>
              <w:rPr>
                <w:rFonts w:hint="default" w:ascii="Arial" w:hAnsi="Arial" w:cs="Arial"/>
                <w:sz w:val="20"/>
                <w:szCs w:val="20"/>
              </w:rPr>
            </w:pPr>
            <w:r>
              <w:rPr>
                <w:rFonts w:hint="default" w:ascii="Arial" w:hAnsi="Arial" w:cs="Arial"/>
                <w:b/>
                <w:sz w:val="20"/>
                <w:szCs w:val="20"/>
              </w:rPr>
              <w:t>Li S. S. et al. (2025)</w:t>
            </w:r>
          </w:p>
        </w:tc>
        <w:tc>
          <w:tcPr>
            <w:tcW w:w="1417" w:type="dxa"/>
          </w:tcPr>
          <w:p w14:paraId="70DCBF78">
            <w:pPr>
              <w:spacing w:before="20" w:after="20" w:line="480" w:lineRule="auto"/>
              <w:jc w:val="left"/>
              <w:rPr>
                <w:rFonts w:hint="default" w:ascii="Arial" w:hAnsi="Arial" w:cs="Arial"/>
                <w:sz w:val="20"/>
                <w:szCs w:val="20"/>
              </w:rPr>
            </w:pPr>
            <w:r>
              <w:rPr>
                <w:rFonts w:hint="default" w:ascii="Arial" w:hAnsi="Arial" w:cs="Arial"/>
                <w:sz w:val="20"/>
                <w:szCs w:val="20"/>
              </w:rPr>
              <w:t>Inguinal hernia surgery</w:t>
            </w:r>
          </w:p>
        </w:tc>
        <w:tc>
          <w:tcPr>
            <w:tcW w:w="5953" w:type="dxa"/>
          </w:tcPr>
          <w:p w14:paraId="3DEC5B65">
            <w:pPr>
              <w:spacing w:before="20" w:after="20" w:line="480" w:lineRule="auto"/>
              <w:jc w:val="left"/>
              <w:rPr>
                <w:rFonts w:hint="default" w:ascii="Arial" w:hAnsi="Arial" w:cs="Arial"/>
                <w:sz w:val="20"/>
                <w:szCs w:val="20"/>
              </w:rPr>
            </w:pPr>
            <w:r>
              <w:rPr>
                <w:rFonts w:hint="default" w:ascii="Arial" w:hAnsi="Arial" w:cs="Arial"/>
                <w:sz w:val="20"/>
                <w:szCs w:val="20"/>
              </w:rPr>
              <w:t>A game counseling team was formed and a pathway-based game nursing flowchart was developed, covering pre- and post-surgery phases. On admission, staff collected baseline data and interviewed family members about the child’s game, animation, and toy preferences. These were used to craft a personalized medical game plan. A game room was decorated with the child’s preferred themes (e.g., “Alice’s Princess Hospital Adventure,” “The Little Warrior’s Fantasy Journey”), and the hospital’s hernia surgery education booklet was redesigned in cartoon format with playful text and characters; pre-op education lasted 30–60 min. Inside the game room, cheerful children’s songs played and the child’s preferred toys and dolls were laid out. Nurses initiated interactive games (hide-and-seek, “wooden man”) to build trust. The surgical workflow was then presented as an animated story, with pre-op preparations transformed into playful scenarios—putting on the surgical gown became wearing a “magic coat,” establishing IV access became receiving a “strength booster.” The entire surgical journey was narrated as a game-level adventure with rich rewards at the end (~10 min pre-op interaction). Before surgery, nurses led the child in recalling the game content and used motivational language. After surgery, completion rewards were given—“warrior medals,” little red flowers—to celebrate the child’s courage. Post-op care instructions were converted into animated videos with playful, easy-to-digest narration; ongoing distraction via games, music, and toys was used to soothe the child; parents were coached to monitor and redirect negative moods; and simple games were encouraged during recovery to promote light physical activity.</w:t>
            </w:r>
          </w:p>
        </w:tc>
        <w:tc>
          <w:tcPr>
            <w:tcW w:w="5953" w:type="dxa"/>
          </w:tcPr>
          <w:p w14:paraId="54FBEBDE">
            <w:pPr>
              <w:spacing w:before="20" w:after="20" w:line="480" w:lineRule="auto"/>
              <w:jc w:val="left"/>
              <w:rPr>
                <w:rFonts w:hint="default" w:ascii="Arial" w:hAnsi="Arial" w:cs="Arial"/>
                <w:sz w:val="20"/>
                <w:szCs w:val="20"/>
              </w:rPr>
            </w:pPr>
            <w:r>
              <w:rPr>
                <w:rFonts w:hint="default" w:ascii="Arial" w:hAnsi="Arial" w:cs="Arial"/>
                <w:sz w:val="20"/>
                <w:szCs w:val="20"/>
              </w:rPr>
              <w:t>Routine perioperative care: pre-op education for children and families on the causes of inguinal hernia, the surgical procedure, and its necessity, with psychological counseling and encouragement for active coping; post-op guidance on liquid, easily digestible food and bed rest, with instructions to family on care precautions and possible complications; full intra- and post-op ECG monitoring, regular ward rounds, and timely management of adverse events.</w:t>
            </w:r>
          </w:p>
        </w:tc>
      </w:tr>
      <w:tr w14:paraId="62E21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21830B3E">
            <w:pPr>
              <w:spacing w:before="20" w:after="20" w:line="480" w:lineRule="auto"/>
              <w:jc w:val="left"/>
              <w:rPr>
                <w:rFonts w:hint="default" w:ascii="Arial" w:hAnsi="Arial" w:cs="Arial"/>
                <w:sz w:val="20"/>
                <w:szCs w:val="20"/>
              </w:rPr>
            </w:pPr>
            <w:r>
              <w:rPr>
                <w:rFonts w:hint="default" w:ascii="Arial" w:hAnsi="Arial" w:cs="Arial"/>
                <w:b/>
                <w:sz w:val="20"/>
                <w:szCs w:val="20"/>
              </w:rPr>
              <w:t>Sanchez Cristal et al. (2018)</w:t>
            </w:r>
          </w:p>
        </w:tc>
        <w:tc>
          <w:tcPr>
            <w:tcW w:w="1417" w:type="dxa"/>
          </w:tcPr>
          <w:p w14:paraId="24A4E05B">
            <w:pPr>
              <w:spacing w:before="20" w:after="20" w:line="480" w:lineRule="auto"/>
              <w:jc w:val="left"/>
              <w:rPr>
                <w:rFonts w:hint="default" w:ascii="Arial" w:hAnsi="Arial" w:cs="Arial"/>
                <w:sz w:val="20"/>
                <w:szCs w:val="20"/>
              </w:rPr>
            </w:pPr>
            <w:r>
              <w:rPr>
                <w:rFonts w:hint="default" w:ascii="Arial" w:hAnsi="Arial" w:cs="Arial"/>
                <w:sz w:val="20"/>
                <w:szCs w:val="20"/>
              </w:rPr>
              <w:t>Peripheral intravenous catheter (PIV)</w:t>
            </w:r>
          </w:p>
        </w:tc>
        <w:tc>
          <w:tcPr>
            <w:tcW w:w="5953" w:type="dxa"/>
          </w:tcPr>
          <w:p w14:paraId="630D5D09">
            <w:pPr>
              <w:spacing w:before="20" w:after="20" w:line="480" w:lineRule="auto"/>
              <w:jc w:val="left"/>
              <w:rPr>
                <w:rFonts w:hint="default" w:ascii="Arial" w:hAnsi="Arial" w:cs="Arial"/>
                <w:sz w:val="20"/>
                <w:szCs w:val="20"/>
              </w:rPr>
            </w:pPr>
            <w:r>
              <w:rPr>
                <w:rFonts w:hint="default" w:ascii="Arial" w:hAnsi="Arial" w:cs="Arial"/>
                <w:sz w:val="20"/>
                <w:szCs w:val="20"/>
              </w:rPr>
              <w:t>A CCLS greeted the child and parent, explained the CCLS role, and offered services. Using a PIV-equipped teddy bear (Benny), the CCLS communicated the need for PIV placement, rehearsed the sequence of events, and walked the child through the sensory experience via demonstration with the bear. Educational medical props (tourniquet, J-Tip, skin antiseptic, PIV catheter and T-connector tubing, syringes, dressing) were shown and the child was invited to participate at whatever level felt comfortable. The CCLS assessed the child’s specific worries and fears and encouraged questions. A developmentally appropriate coping plan was then jointly decided with the child and family. Distraction and coping options offered included tablet games or videos, interactive books, light-up toys, and pinwheel blowing. During PIV placement, the CCLS actively engaged the child in the chosen distraction tools and coping plan. The CCLS also partnered with parents to facilitate comfort positioning—the child sitting on a parent’s lap with guidance on how to provide supportive holding.</w:t>
            </w:r>
          </w:p>
        </w:tc>
        <w:tc>
          <w:tcPr>
            <w:tcW w:w="5953" w:type="dxa"/>
          </w:tcPr>
          <w:p w14:paraId="721A0A8B">
            <w:pPr>
              <w:spacing w:before="20" w:after="20" w:line="480" w:lineRule="auto"/>
              <w:jc w:val="left"/>
              <w:rPr>
                <w:rFonts w:hint="default" w:ascii="Arial" w:hAnsi="Arial" w:cs="Arial"/>
                <w:sz w:val="20"/>
                <w:szCs w:val="20"/>
              </w:rPr>
            </w:pPr>
            <w:r>
              <w:rPr>
                <w:rFonts w:hint="default" w:ascii="Arial" w:hAnsi="Arial" w:cs="Arial"/>
                <w:sz w:val="20"/>
                <w:szCs w:val="20"/>
              </w:rPr>
              <w:t>Standard nursing care: notification of the PIV order and routine verbal procedural explanation by clinical staff.</w:t>
            </w:r>
          </w:p>
        </w:tc>
      </w:tr>
      <w:tr w14:paraId="4707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04C847F8">
            <w:pPr>
              <w:spacing w:before="20" w:after="20" w:line="480" w:lineRule="auto"/>
              <w:jc w:val="left"/>
              <w:rPr>
                <w:rFonts w:hint="default" w:ascii="Arial" w:hAnsi="Arial" w:cs="Arial"/>
                <w:sz w:val="20"/>
                <w:szCs w:val="20"/>
              </w:rPr>
            </w:pPr>
            <w:r>
              <w:rPr>
                <w:rFonts w:hint="default" w:ascii="Arial" w:hAnsi="Arial" w:cs="Arial"/>
                <w:b/>
                <w:sz w:val="20"/>
                <w:szCs w:val="20"/>
              </w:rPr>
              <w:t>Wang et al. (2024)</w:t>
            </w:r>
          </w:p>
        </w:tc>
        <w:tc>
          <w:tcPr>
            <w:tcW w:w="1417" w:type="dxa"/>
          </w:tcPr>
          <w:p w14:paraId="53BD0D3E">
            <w:pPr>
              <w:spacing w:before="20" w:after="20" w:line="480" w:lineRule="auto"/>
              <w:jc w:val="left"/>
              <w:rPr>
                <w:rFonts w:hint="default" w:ascii="Arial" w:hAnsi="Arial" w:cs="Arial"/>
                <w:sz w:val="20"/>
                <w:szCs w:val="20"/>
              </w:rPr>
            </w:pPr>
            <w:r>
              <w:rPr>
                <w:rFonts w:hint="default" w:ascii="Arial" w:hAnsi="Arial" w:cs="Arial"/>
                <w:sz w:val="20"/>
                <w:szCs w:val="20"/>
              </w:rPr>
              <w:t>Peripheral venipuncture</w:t>
            </w:r>
          </w:p>
        </w:tc>
        <w:tc>
          <w:tcPr>
            <w:tcW w:w="5953" w:type="dxa"/>
          </w:tcPr>
          <w:p w14:paraId="256875C8">
            <w:pPr>
              <w:spacing w:before="20" w:after="20" w:line="480" w:lineRule="auto"/>
              <w:jc w:val="left"/>
              <w:rPr>
                <w:rFonts w:hint="default" w:ascii="Arial" w:hAnsi="Arial" w:cs="Arial"/>
                <w:sz w:val="20"/>
                <w:szCs w:val="20"/>
              </w:rPr>
            </w:pPr>
            <w:r>
              <w:rPr>
                <w:rFonts w:hint="default" w:ascii="Arial" w:hAnsi="Arial" w:cs="Arial"/>
                <w:sz w:val="20"/>
                <w:szCs w:val="20"/>
              </w:rPr>
              <w:t>A multidisciplinary Child Life team was established (head nurse, child health physician, technician, nurse; core members first received training at a national-level tertiary hospital’s CL program, then trained the rest of the team). A CL game room was created—warm colors, cartoon wall decorations, background music, children’s tables and chairs, a TV, a story machine, medical and recreational toys, picture books, and art supplies. A “Ward Exploration” medical familiarization game helped children get to know the department and hospital environment, with content and difficulty adapted to age and cognitive level. A medical preparation game used cards, models, and dolls to simulate the peripheral venipuncture procedure, and children were guided through pre-procedure preparations such as disinfecting and preparing supplies. In a scenario-based role-play game, children donned white coats and played the nurse, performing a simulated venipuncture on a doll or their parent. Emotionally interactive games—origami, drawing, sharing circles—let children express themselves in a relaxed atmosphere; staff listened attentively and responded to emotional cues. During the actual puncture, attention-diverting games used music and cartoons paired with mindfulness guidance and soothing words from the parent. An immediate reward (small toy) was given after the procedure.</w:t>
            </w:r>
          </w:p>
        </w:tc>
        <w:tc>
          <w:tcPr>
            <w:tcW w:w="5953" w:type="dxa"/>
          </w:tcPr>
          <w:p w14:paraId="7FB43982">
            <w:pPr>
              <w:spacing w:before="20" w:after="20" w:line="480" w:lineRule="auto"/>
              <w:jc w:val="left"/>
              <w:rPr>
                <w:rFonts w:hint="default" w:ascii="Arial" w:hAnsi="Arial" w:cs="Arial"/>
                <w:sz w:val="20"/>
                <w:szCs w:val="20"/>
              </w:rPr>
            </w:pPr>
            <w:r>
              <w:rPr>
                <w:rFonts w:hint="default" w:ascii="Arial" w:hAnsi="Arial" w:cs="Arial"/>
                <w:sz w:val="20"/>
                <w:szCs w:val="20"/>
              </w:rPr>
              <w:t>Routine care: standard health education on admission plus a printed education flyer; before the puncture, nurses explained the importance and considerations of the procedure and asked family members to assist with positioning and cooperation.</w:t>
            </w:r>
          </w:p>
        </w:tc>
      </w:tr>
      <w:tr w14:paraId="6612C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69F3D6E5">
            <w:pPr>
              <w:spacing w:before="20" w:after="20" w:line="480" w:lineRule="auto"/>
              <w:jc w:val="left"/>
              <w:rPr>
                <w:rFonts w:hint="default" w:ascii="Arial" w:hAnsi="Arial" w:cs="Arial"/>
                <w:sz w:val="20"/>
                <w:szCs w:val="20"/>
              </w:rPr>
            </w:pPr>
            <w:r>
              <w:rPr>
                <w:rFonts w:hint="default" w:ascii="Arial" w:hAnsi="Arial" w:cs="Arial"/>
                <w:b/>
                <w:sz w:val="20"/>
                <w:szCs w:val="20"/>
              </w:rPr>
              <w:t>Zhang &amp; Yu (2021)</w:t>
            </w:r>
          </w:p>
        </w:tc>
        <w:tc>
          <w:tcPr>
            <w:tcW w:w="1417" w:type="dxa"/>
          </w:tcPr>
          <w:p w14:paraId="6549DCF9">
            <w:pPr>
              <w:spacing w:before="20" w:after="20" w:line="480" w:lineRule="auto"/>
              <w:jc w:val="left"/>
              <w:rPr>
                <w:rFonts w:hint="default" w:ascii="Arial" w:hAnsi="Arial" w:cs="Arial"/>
                <w:sz w:val="20"/>
                <w:szCs w:val="20"/>
              </w:rPr>
            </w:pPr>
            <w:r>
              <w:rPr>
                <w:rFonts w:hint="default" w:ascii="Arial" w:hAnsi="Arial" w:cs="Arial"/>
                <w:sz w:val="20"/>
                <w:szCs w:val="20"/>
              </w:rPr>
              <w:t>Venipuncture for chronic kidney disease</w:t>
            </w:r>
          </w:p>
        </w:tc>
        <w:tc>
          <w:tcPr>
            <w:tcW w:w="5953" w:type="dxa"/>
          </w:tcPr>
          <w:p w14:paraId="1A6F376C">
            <w:pPr>
              <w:spacing w:before="20" w:after="20" w:line="480" w:lineRule="auto"/>
              <w:jc w:val="left"/>
              <w:rPr>
                <w:rFonts w:hint="default" w:ascii="Arial" w:hAnsi="Arial" w:cs="Arial"/>
                <w:sz w:val="20"/>
                <w:szCs w:val="20"/>
              </w:rPr>
            </w:pPr>
            <w:r>
              <w:rPr>
                <w:rFonts w:hint="default" w:ascii="Arial" w:hAnsi="Arial" w:cs="Arial"/>
                <w:sz w:val="20"/>
                <w:szCs w:val="20"/>
              </w:rPr>
              <w:t>A 7-member Child Life specialist team was assembled and received 12 class hours of systematic training. A CL game zone was set up inside the ward’s venipuncture room—a circular table with chairs for 8–10 children, a TV looping a venipuncture health education video, warm cartoon animal stickers on the walls, plush dolls (Peppa Pig, Pleasant Goat, a little bear), and a treatment tray containing a de-needled indwelling catheter (unused), tourniquet, dressing, cotton swabs, tape, and iodophor—all disinfected. The “I Do an Injection for Little Bear” game training was conducted in two 30-min sessions (admission afternoon and the next morning before puncture), following a sequence: greet → listen → explain (animation/video/slides) → demonstrate (nurse performs the full puncture procedure with comfort-focused soothing touch on a doll) → simulated experience (child selects a favorite doll and practices the puncture under nurse guidance) → real experience (during the child’s actual puncture, another nurse simultaneously performs the same steps on the same doll beside the child, encouraging the child to be as brave and cooperative as their doll).</w:t>
            </w:r>
          </w:p>
        </w:tc>
        <w:tc>
          <w:tcPr>
            <w:tcW w:w="5953" w:type="dxa"/>
          </w:tcPr>
          <w:p w14:paraId="10DEFCE3">
            <w:pPr>
              <w:spacing w:before="20" w:after="20" w:line="480" w:lineRule="auto"/>
              <w:jc w:val="left"/>
              <w:rPr>
                <w:rFonts w:hint="default" w:ascii="Arial" w:hAnsi="Arial" w:cs="Arial"/>
                <w:sz w:val="20"/>
                <w:szCs w:val="20"/>
              </w:rPr>
            </w:pPr>
            <w:r>
              <w:rPr>
                <w:rFonts w:hint="default" w:ascii="Arial" w:hAnsi="Arial" w:cs="Arial"/>
                <w:sz w:val="20"/>
                <w:szCs w:val="20"/>
              </w:rPr>
              <w:t>Routine health education: before puncture, nurses explained the purpose, method, and precautions of the indwelling needle, distributed a printed education sheet, and maintained a venipuncture health education display board in the ward.</w:t>
            </w:r>
          </w:p>
        </w:tc>
      </w:tr>
      <w:tr w14:paraId="5552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06AD4D37">
            <w:pPr>
              <w:spacing w:before="20" w:after="20" w:line="480" w:lineRule="auto"/>
              <w:jc w:val="left"/>
              <w:rPr>
                <w:rFonts w:hint="default" w:ascii="Arial" w:hAnsi="Arial" w:cs="Arial"/>
                <w:sz w:val="20"/>
                <w:szCs w:val="20"/>
              </w:rPr>
            </w:pPr>
            <w:r>
              <w:rPr>
                <w:rFonts w:hint="default" w:ascii="Arial" w:hAnsi="Arial" w:cs="Arial"/>
                <w:b/>
                <w:sz w:val="20"/>
                <w:szCs w:val="20"/>
              </w:rPr>
              <w:t>Zhang et al. (2022)</w:t>
            </w:r>
          </w:p>
        </w:tc>
        <w:tc>
          <w:tcPr>
            <w:tcW w:w="1417" w:type="dxa"/>
          </w:tcPr>
          <w:p w14:paraId="15A5A427">
            <w:pPr>
              <w:spacing w:before="20" w:after="20" w:line="480" w:lineRule="auto"/>
              <w:jc w:val="left"/>
              <w:rPr>
                <w:rFonts w:hint="default" w:ascii="Arial" w:hAnsi="Arial" w:cs="Arial"/>
                <w:sz w:val="20"/>
                <w:szCs w:val="20"/>
              </w:rPr>
            </w:pPr>
            <w:r>
              <w:rPr>
                <w:rFonts w:hint="default" w:ascii="Arial" w:hAnsi="Arial" w:cs="Arial"/>
                <w:sz w:val="20"/>
                <w:szCs w:val="20"/>
              </w:rPr>
              <w:t>Limb fracture repair</w:t>
            </w:r>
          </w:p>
        </w:tc>
        <w:tc>
          <w:tcPr>
            <w:tcW w:w="5953" w:type="dxa"/>
          </w:tcPr>
          <w:p w14:paraId="55791D0C">
            <w:pPr>
              <w:spacing w:before="20" w:after="20" w:line="480" w:lineRule="auto"/>
              <w:jc w:val="left"/>
              <w:rPr>
                <w:rFonts w:hint="default" w:ascii="Arial" w:hAnsi="Arial" w:cs="Arial"/>
                <w:sz w:val="20"/>
                <w:szCs w:val="20"/>
              </w:rPr>
            </w:pPr>
            <w:r>
              <w:rPr>
                <w:rFonts w:hint="default" w:ascii="Arial" w:hAnsi="Arial" w:cs="Arial"/>
                <w:sz w:val="20"/>
                <w:szCs w:val="20"/>
              </w:rPr>
              <w:t>A 10-member multidisciplinary pain management team was formed (3 orthopedic surgeons, 6 pediatric nurses spanning ward/dedicated/anesthesia roles, 1 game therapist). The team observed and documented children’s stress responses and conducted in-depth conversations with children and families to map out specific fears—fear of injections and IVs, fear of lying on the operating table, fear of severe post-op pain, fear of not waking from anesthesia, uncertainty about when they could remove the brace and go home. These stressors, together with literature evidence, were reviewed by 6 multidisciplinary experts who refined the game protocol. A playful game zone was set up in the ward with cartoon stickers of small animals, trees, and flowers, age-appropriate books, toys, and education booklets, maintained by student volunteers with regular disinfection. The pre-op “I Am a Little Doctor” game pack (admission day, ~20 min) used a doll, stethoscope, sphygmomanometer, etc., for children to role-play routine medical procedures. Before anesthesia induction, the “Surgery Game Pack” (1 day pre-op, ~25 min) deployed self-made education cards, a pop-up picture book (The Belly Water Transport Team), and a doll to demonstrate the surgery and anesthesia flow plus post-op oxygen, dressing changes, and brace fixation; children then retold the sequence. The post-op “Distraction Game Pack” (~30 min) provided building blocks, jigsaw puzzles, board games, etc. Parents were taught relaxation techniques before surgery; after surgery, children were guided in deep breathing, watched favorite animated shows, and engaged in interactive play with family members.</w:t>
            </w:r>
          </w:p>
        </w:tc>
        <w:tc>
          <w:tcPr>
            <w:tcW w:w="5953" w:type="dxa"/>
          </w:tcPr>
          <w:p w14:paraId="32178D11">
            <w:pPr>
              <w:spacing w:before="20" w:after="20" w:line="480" w:lineRule="auto"/>
              <w:jc w:val="left"/>
              <w:rPr>
                <w:rFonts w:hint="default" w:ascii="Arial" w:hAnsi="Arial" w:cs="Arial"/>
                <w:sz w:val="20"/>
                <w:szCs w:val="20"/>
              </w:rPr>
            </w:pPr>
            <w:r>
              <w:rPr>
                <w:rFonts w:hint="default" w:ascii="Arial" w:hAnsi="Arial" w:cs="Arial"/>
                <w:sz w:val="20"/>
                <w:szCs w:val="20"/>
              </w:rPr>
              <w:t>Routine perioperative care: oral health education on admission plus push-delivery of disease knowledge, perioperative guidance, post-op management, and functional exercise modules via a bedside QR-code mobile education platform; a pre-op visit 1 day before surgery by an anesthesia nurse who assessed the child’s status, explained fasting and preparation requirements, and described the anesthesia plan, surgical procedure, safety profile, and risks; escort to the OR by the anesthesia nurse on surgery day; post-op assessment and nursing by the responsible nurse with pharmacological intervention under anesthesiologist guidance when FLACC ≥ 4.</w:t>
            </w:r>
          </w:p>
        </w:tc>
      </w:tr>
      <w:tr w14:paraId="5A5A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5B76F19A">
            <w:pPr>
              <w:spacing w:before="20" w:after="20" w:line="480" w:lineRule="auto"/>
              <w:jc w:val="left"/>
              <w:rPr>
                <w:rFonts w:hint="default" w:ascii="Arial" w:hAnsi="Arial" w:cs="Arial"/>
                <w:sz w:val="20"/>
                <w:szCs w:val="20"/>
              </w:rPr>
            </w:pPr>
            <w:r>
              <w:rPr>
                <w:rFonts w:hint="default" w:ascii="Arial" w:hAnsi="Arial" w:cs="Arial"/>
                <w:b/>
                <w:sz w:val="20"/>
                <w:szCs w:val="20"/>
              </w:rPr>
              <w:t>Zhang et al. (2025)</w:t>
            </w:r>
          </w:p>
        </w:tc>
        <w:tc>
          <w:tcPr>
            <w:tcW w:w="1417" w:type="dxa"/>
          </w:tcPr>
          <w:p w14:paraId="51538100">
            <w:pPr>
              <w:spacing w:before="20" w:after="20" w:line="480" w:lineRule="auto"/>
              <w:jc w:val="left"/>
              <w:rPr>
                <w:rFonts w:hint="default" w:ascii="Arial" w:hAnsi="Arial" w:cs="Arial"/>
                <w:sz w:val="20"/>
                <w:szCs w:val="20"/>
              </w:rPr>
            </w:pPr>
            <w:r>
              <w:rPr>
                <w:rFonts w:hint="default" w:ascii="Arial" w:hAnsi="Arial" w:cs="Arial"/>
                <w:sz w:val="20"/>
                <w:szCs w:val="20"/>
              </w:rPr>
              <w:t>Renal biopsy</w:t>
            </w:r>
          </w:p>
        </w:tc>
        <w:tc>
          <w:tcPr>
            <w:tcW w:w="5953" w:type="dxa"/>
          </w:tcPr>
          <w:p w14:paraId="6A59D00E">
            <w:pPr>
              <w:spacing w:before="20" w:after="20" w:line="480" w:lineRule="auto"/>
              <w:jc w:val="left"/>
              <w:rPr>
                <w:rFonts w:hint="default" w:ascii="Arial" w:hAnsi="Arial" w:cs="Arial"/>
                <w:sz w:val="20"/>
                <w:szCs w:val="20"/>
              </w:rPr>
            </w:pPr>
            <w:r>
              <w:rPr>
                <w:rFonts w:hint="default" w:ascii="Arial" w:hAnsi="Arial" w:cs="Arial"/>
                <w:sz w:val="20"/>
                <w:szCs w:val="20"/>
              </w:rPr>
              <w:t>A medical counseling team (1 specialist physician, 2 ward nurses trained in CL) was formed and a dedicated simulation game room was set up—clean, bright, stocked with game equipment, dolls, books, and stickers. In the “I Am a Little Puncture Doctor” game, the child and parent participated together. Props included a child-sized white coat, a teddy bear, a homemade cardboard “mini ultrasound machine,” a blunted “puncture needle” for the bear, a needleless syringe, and a dressing change kit. The child donned the white coat and was told: “Today you are the puncture doctor—let’s do a little operation for the bear.” The full procedure was then simulated: the child prepped the bear, positioned it prone for puncture, identified the body surface landmark, disinfected the site, and draped it. Before the anesthesia and puncture step, the child was encouraged to soothe the bear. The “mini ultrasound” was placed beside the bear and the screen manually switched to a hand-drawn kidney image. After the needle was withdrawn, the child helped bandage the site and gently turned the bear supine. Finally, the child performed a dressing change on the bear to learn that wound care is necessary and only mildly uncomfortable. For ages 4–6, the nurse primarily demonstrated and explained while inviting the child to join in; for ages 7–12, the nurse guided and encouraged while the child took the lead in operating. Afterward, the child was praised and then asked to guide the parent through the entire bear kidney puncture again.</w:t>
            </w:r>
          </w:p>
        </w:tc>
        <w:tc>
          <w:tcPr>
            <w:tcW w:w="5953" w:type="dxa"/>
          </w:tcPr>
          <w:p w14:paraId="36458B9A">
            <w:pPr>
              <w:spacing w:before="20" w:after="20" w:line="480" w:lineRule="auto"/>
              <w:jc w:val="left"/>
              <w:rPr>
                <w:rFonts w:hint="default" w:ascii="Arial" w:hAnsi="Arial" w:cs="Arial"/>
                <w:sz w:val="20"/>
                <w:szCs w:val="20"/>
              </w:rPr>
            </w:pPr>
            <w:r>
              <w:rPr>
                <w:rFonts w:hint="default" w:ascii="Arial" w:hAnsi="Arial" w:cs="Arial"/>
                <w:sz w:val="20"/>
                <w:szCs w:val="20"/>
              </w:rPr>
              <w:t>Routine education: one day before biopsy, children and parents received standard verbal education covering the purpose, process, and possible intra- and post-procedural complications of renal biopsy, accompanied by psychological counseling; children were trained in bedpan use, intra-procedural breathing, and positioning.</w:t>
            </w:r>
          </w:p>
        </w:tc>
      </w:tr>
      <w:tr w14:paraId="2E64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tcPr>
          <w:p w14:paraId="208CC276">
            <w:pPr>
              <w:spacing w:before="20" w:after="20" w:line="480" w:lineRule="auto"/>
              <w:jc w:val="left"/>
              <w:rPr>
                <w:rFonts w:hint="default" w:ascii="Arial" w:hAnsi="Arial" w:cs="Arial"/>
                <w:sz w:val="20"/>
                <w:szCs w:val="20"/>
              </w:rPr>
            </w:pPr>
            <w:r>
              <w:rPr>
                <w:rFonts w:hint="default" w:ascii="Arial" w:hAnsi="Arial" w:cs="Arial"/>
                <w:b/>
                <w:sz w:val="20"/>
                <w:szCs w:val="20"/>
              </w:rPr>
              <w:t>Zhou &amp; Huang (2024)</w:t>
            </w:r>
          </w:p>
        </w:tc>
        <w:tc>
          <w:tcPr>
            <w:tcW w:w="1417" w:type="dxa"/>
          </w:tcPr>
          <w:p w14:paraId="10DEE2FF">
            <w:pPr>
              <w:spacing w:before="20" w:after="20" w:line="480" w:lineRule="auto"/>
              <w:jc w:val="left"/>
              <w:rPr>
                <w:rFonts w:hint="default" w:ascii="Arial" w:hAnsi="Arial" w:cs="Arial"/>
                <w:sz w:val="20"/>
                <w:szCs w:val="20"/>
              </w:rPr>
            </w:pPr>
            <w:r>
              <w:rPr>
                <w:rFonts w:hint="default" w:ascii="Arial" w:hAnsi="Arial" w:cs="Arial"/>
                <w:sz w:val="20"/>
                <w:szCs w:val="20"/>
              </w:rPr>
              <w:t>Surgery</w:t>
            </w:r>
          </w:p>
        </w:tc>
        <w:tc>
          <w:tcPr>
            <w:tcW w:w="5953" w:type="dxa"/>
          </w:tcPr>
          <w:p w14:paraId="57C4ED64">
            <w:pPr>
              <w:spacing w:before="20" w:after="20" w:line="480" w:lineRule="auto"/>
              <w:jc w:val="left"/>
              <w:rPr>
                <w:rFonts w:hint="default" w:ascii="Arial" w:hAnsi="Arial" w:cs="Arial"/>
                <w:sz w:val="20"/>
                <w:szCs w:val="20"/>
              </w:rPr>
            </w:pPr>
            <w:r>
              <w:rPr>
                <w:rFonts w:hint="default" w:ascii="Arial" w:hAnsi="Arial" w:cs="Arial"/>
                <w:sz w:val="20"/>
                <w:szCs w:val="20"/>
              </w:rPr>
              <w:t>A Child Life team was formed (2 physicians, 7 nurses; the head nurse managed activities and division of labor, the team collectively discussed and designed intervention methods and prepared game props). A CL game room was set up in the pre-op waiting area, furnished and decorated with books, toys, tables, and chairs chosen according to children’s preferences and psychological characteristics; all items were returned to place and disinfected after each session. Parents accompanied children into the room after hand disinfection. Together, the parent, the visiting nurse, and the child engaged in several game formats—role-switching, scenario reenactment, simulated surgery. The games were structured as progressive stages: simulating pre-op preparation, anesthesia induction, and the surgical procedure itself, including practicing separation from the parent upon entering the operating room. Throughout, team members and parents used positive language cues and encouragement; parents were invited to promise a post-op reward to motivate active cooperation.</w:t>
            </w:r>
          </w:p>
        </w:tc>
        <w:tc>
          <w:tcPr>
            <w:tcW w:w="5953" w:type="dxa"/>
          </w:tcPr>
          <w:p w14:paraId="758C6CF1">
            <w:pPr>
              <w:spacing w:before="20" w:after="20" w:line="480" w:lineRule="auto"/>
              <w:jc w:val="left"/>
              <w:rPr>
                <w:rFonts w:hint="default" w:ascii="Arial" w:hAnsi="Arial" w:cs="Arial"/>
                <w:sz w:val="20"/>
                <w:szCs w:val="20"/>
              </w:rPr>
            </w:pPr>
            <w:r>
              <w:rPr>
                <w:rFonts w:hint="default" w:ascii="Arial" w:hAnsi="Arial" w:cs="Arial"/>
                <w:sz w:val="20"/>
                <w:szCs w:val="20"/>
              </w:rPr>
              <w:t>Conventional pre-op visit: one day before surgery, the nurse reviewed the child’s chart and consulted the attending physician, then introduced themselves and greeted the child. Information about pre-op preparation and the general surgical process was delivered through oral education and printed brochures. Psychological support was offered and questions were answered. The nurse then collaborated with the nursing team to formulate specific care measures based on information gathered during the visit.</w:t>
            </w:r>
          </w:p>
        </w:tc>
      </w:tr>
    </w:tbl>
    <w:p w14:paraId="40123822">
      <w:pPr>
        <w:spacing w:before="120" w:line="480" w:lineRule="auto"/>
        <w:rPr>
          <w:rFonts w:hint="default" w:ascii="Arial" w:hAnsi="Arial" w:cs="Arial"/>
          <w:sz w:val="20"/>
          <w:szCs w:val="20"/>
        </w:rPr>
      </w:pPr>
      <w:r>
        <w:rPr>
          <w:rFonts w:hint="default" w:ascii="Arial" w:hAnsi="Arial" w:cs="Arial"/>
          <w:b/>
          <w:bCs/>
          <w:i w:val="0"/>
          <w:sz w:val="20"/>
          <w:szCs w:val="20"/>
        </w:rPr>
        <w:t>Note.</w:t>
      </w:r>
      <w:r>
        <w:rPr>
          <w:rFonts w:hint="default" w:ascii="Arial" w:hAnsi="Arial" w:cs="Arial"/>
          <w:i w:val="0"/>
          <w:sz w:val="20"/>
          <w:szCs w:val="20"/>
        </w:rPr>
        <w:t xml:space="preserve"> CCLS = Certified Child Life Specialist; CL = Child Life; CLS = Child Life Services; CLTP = Child Life Therapist; ECG = Electrocardiogram; FLACC = Face, Legs, Activity, Cry, Consolability scale; IV = Intravenous; OR = Operating Room; PIV = Peripheral Intravenous Catheter; Pre-op = Preoperative; Post-op = Postoperative.</w:t>
      </w:r>
    </w:p>
    <w:sectPr>
      <w:pgSz w:w="15840" w:h="12240" w:orient="landscape"/>
      <w:pgMar w:top="850" w:right="1020" w:bottom="850" w:left="10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C936EA9"/>
    <w:rsid w:val="18925047"/>
    <w:rsid w:val="2ED21064"/>
    <w:rsid w:val="3CA41F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40" w:after="40" w:line="276" w:lineRule="auto"/>
    </w:pPr>
    <w:rPr>
      <w:rFonts w:ascii="Times New Roman" w:hAnsi="Times New Roman" w:eastAsiaTheme="minorEastAsia" w:cstheme="minorBidi"/>
      <w:sz w:val="1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2880</Words>
  <Characters>17284</Characters>
  <Lines>0</Lines>
  <Paragraphs>0</Paragraphs>
  <TotalTime>0</TotalTime>
  <ScaleCrop>false</ScaleCrop>
  <LinksUpToDate>false</LinksUpToDate>
  <CharactersWithSpaces>20110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User1</cp:lastModifiedBy>
  <dcterms:modified xsi:type="dcterms:W3CDTF">2026-06-30T00:12:24Z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eyJoZGlkIjoiNjkwNDE5MTA5M2M3MmFhM2M0MDg4YzAzNWM3NGRhMDUiLCJ1c2VySWQiOiI0NzU5OTQwNDMifQ==</vt:lpwstr>
  </property>
  <property fmtid="{D5CDD505-2E9C-101B-9397-08002B2CF9AE}" pid="3" name="KSOProductBuildVer">
    <vt:lpwstr>2052-12.1.0.26895</vt:lpwstr>
  </property>
  <property fmtid="{D5CDD505-2E9C-101B-9397-08002B2CF9AE}" pid="4" name="ICV">
    <vt:lpwstr>B8C86CCDC00D426EAB6ADB94BC61DC9D_12</vt:lpwstr>
  </property>
</Properties>
</file>